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D2" w:rsidRDefault="003D7DD2">
      <w:r>
        <w:t xml:space="preserve">    </w:t>
      </w:r>
    </w:p>
    <w:p w:rsidR="006A5AA2" w:rsidRDefault="003D7DD2">
      <w:r>
        <w:rPr>
          <w:noProof/>
          <w:sz w:val="20"/>
        </w:rPr>
        <w:drawing>
          <wp:anchor distT="0" distB="0" distL="114300" distR="114300" simplePos="0" relativeHeight="251663360" behindDoc="0" locked="0" layoutInCell="1" allowOverlap="1">
            <wp:simplePos x="0" y="0"/>
            <wp:positionH relativeFrom="column">
              <wp:posOffset>200025</wp:posOffset>
            </wp:positionH>
            <wp:positionV relativeFrom="paragraph">
              <wp:posOffset>196215</wp:posOffset>
            </wp:positionV>
            <wp:extent cx="8763000" cy="1390650"/>
            <wp:effectExtent l="19050" t="0" r="0" b="0"/>
            <wp:wrapThrough wrapText="bothSides">
              <wp:wrapPolygon edited="0">
                <wp:start x="-47" y="0"/>
                <wp:lineTo x="-47" y="21304"/>
                <wp:lineTo x="21600" y="21304"/>
                <wp:lineTo x="21600" y="0"/>
                <wp:lineTo x="-47" y="0"/>
              </wp:wrapPolygon>
            </wp:wrapThrough>
            <wp:docPr id="17" name="Picture 16" descr="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1.jpg"/>
                    <pic:cNvPicPr/>
                  </pic:nvPicPr>
                  <pic:blipFill>
                    <a:blip r:embed="rId4" cstate="print"/>
                    <a:srcRect b="14557"/>
                    <a:stretch>
                      <a:fillRect/>
                    </a:stretch>
                  </pic:blipFill>
                  <pic:spPr>
                    <a:xfrm>
                      <a:off x="0" y="0"/>
                      <a:ext cx="8763000" cy="1390650"/>
                    </a:xfrm>
                    <a:prstGeom prst="rect">
                      <a:avLst/>
                    </a:prstGeom>
                  </pic:spPr>
                </pic:pic>
              </a:graphicData>
            </a:graphic>
          </wp:anchor>
        </w:drawing>
      </w:r>
      <w:r w:rsidR="007700F7" w:rsidRPr="007700F7">
        <w:rPr>
          <w:noProof/>
          <w:sz w:val="20"/>
        </w:rPr>
        <w:pict>
          <v:rect id="_x0000_s1026" style="position:absolute;margin-left:9pt;margin-top:9pt;width:702pt;height:531pt;z-index:251664384;mso-wrap-style:none;mso-position-horizontal-relative:text;mso-position-vertical-relative:text;v-text-anchor:middle" o:regroupid="1" filled="f" fillcolor="#eaeaea" strokecolor="navy" strokeweight="15pt">
            <v:shadow color="#eaeaea"/>
          </v:rect>
        </w:pict>
      </w:r>
      <w:r>
        <w:t xml:space="preserve"> </w:t>
      </w:r>
    </w:p>
    <w:p w:rsidR="00375BD0" w:rsidRDefault="0009225E" w:rsidP="003D7DD2">
      <w:r>
        <w:rPr>
          <w:noProof/>
        </w:rPr>
        <w:drawing>
          <wp:anchor distT="0" distB="0" distL="114300" distR="114300" simplePos="0" relativeHeight="251661312" behindDoc="1" locked="0" layoutInCell="1" allowOverlap="1">
            <wp:simplePos x="0" y="0"/>
            <wp:positionH relativeFrom="column">
              <wp:posOffset>2647950</wp:posOffset>
            </wp:positionH>
            <wp:positionV relativeFrom="paragraph">
              <wp:posOffset>1316355</wp:posOffset>
            </wp:positionV>
            <wp:extent cx="6143625" cy="4124325"/>
            <wp:effectExtent l="0" t="0" r="0" b="0"/>
            <wp:wrapNone/>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sidR="003D7DD2">
        <w:rPr>
          <w:noProof/>
        </w:rPr>
        <w:t xml:space="preserve"> </w:t>
      </w:r>
      <w:r>
        <w:t xml:space="preserve">   </w:t>
      </w:r>
      <w:r w:rsidR="00872E6E">
        <w:t xml:space="preserve">  </w:t>
      </w:r>
      <w:r w:rsidR="007700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177.1pt;margin-top:0;width:711pt;height:516pt;z-index:-251654144;mso-position-horizontal-relative:text;mso-position-vertical-relative:text" o:preferrelative="f">
            <v:imagedata croptop="-65520f" cropbottom="65520f"/>
          </v:shape>
        </w:pict>
      </w:r>
      <w:r w:rsidR="00872E6E">
        <w:rPr>
          <w:noProof/>
        </w:rPr>
        <w:t xml:space="preserve"> </w:t>
      </w:r>
      <w:r>
        <w:t xml:space="preserve">                            </w:t>
      </w:r>
    </w:p>
    <w:p w:rsidR="00977437" w:rsidRDefault="007700F7">
      <w:r w:rsidRPr="007700F7">
        <w:rPr>
          <w:noProof/>
          <w:sz w:val="20"/>
        </w:rPr>
        <w:pict>
          <v:shapetype id="_x0000_t202" coordsize="21600,21600" o:spt="202" path="m,l,21600r21600,l21600,xe">
            <v:stroke joinstyle="miter"/>
            <v:path gradientshapeok="t" o:connecttype="rect"/>
          </v:shapetype>
          <v:shape id="_x0000_s1032" type="#_x0000_t202" style="position:absolute;margin-left:16.5pt;margin-top:9.75pt;width:186pt;height:142.5pt;z-index:251652095" o:regroupid="1" filled="f" stroked="f">
            <v:fill color2="#eaeaea"/>
            <v:shadow color="#eaeaea"/>
            <v:textbox style="mso-next-textbox:#_x0000_s1032">
              <w:txbxContent>
                <w:p w:rsidR="003E55FB" w:rsidRPr="00EE325A" w:rsidRDefault="00D75943">
                  <w:pPr>
                    <w:autoSpaceDE w:val="0"/>
                    <w:autoSpaceDN w:val="0"/>
                    <w:adjustRightInd w:val="0"/>
                    <w:jc w:val="center"/>
                    <w:rPr>
                      <w:rFonts w:ascii="Georgia" w:hAnsi="Georgia" w:cs="Georgia"/>
                      <w:b/>
                      <w:bCs/>
                      <w:i/>
                      <w:color w:val="000066"/>
                      <w:sz w:val="48"/>
                      <w:szCs w:val="40"/>
                      <w:vertAlign w:val="subscript"/>
                    </w:rPr>
                  </w:pPr>
                  <w:r w:rsidRPr="00EE325A">
                    <w:rPr>
                      <w:rFonts w:ascii="Georgia" w:hAnsi="Georgia" w:cs="Georgia"/>
                      <w:b/>
                      <w:bCs/>
                      <w:color w:val="000066"/>
                      <w:sz w:val="48"/>
                      <w:szCs w:val="40"/>
                      <w:vertAlign w:val="subscript"/>
                    </w:rPr>
                    <w:t>Highlands County</w:t>
                  </w:r>
                  <w:r w:rsidR="00D777B9" w:rsidRPr="00EE325A">
                    <w:rPr>
                      <w:rFonts w:ascii="Georgia" w:hAnsi="Georgia" w:cs="Georgia"/>
                      <w:b/>
                      <w:bCs/>
                      <w:i/>
                      <w:color w:val="000066"/>
                      <w:sz w:val="48"/>
                      <w:szCs w:val="40"/>
                      <w:vertAlign w:val="subscript"/>
                    </w:rPr>
                    <w:t>,</w:t>
                  </w:r>
                </w:p>
                <w:p w:rsidR="00D777B9" w:rsidRPr="00EE325A" w:rsidRDefault="00D75943">
                  <w:pPr>
                    <w:autoSpaceDE w:val="0"/>
                    <w:autoSpaceDN w:val="0"/>
                    <w:adjustRightInd w:val="0"/>
                    <w:jc w:val="center"/>
                    <w:rPr>
                      <w:rFonts w:ascii="Georgia" w:hAnsi="Georgia" w:cs="Georgia"/>
                      <w:b/>
                      <w:bCs/>
                      <w:color w:val="000066"/>
                      <w:sz w:val="48"/>
                      <w:szCs w:val="40"/>
                      <w:vertAlign w:val="subscript"/>
                    </w:rPr>
                  </w:pPr>
                  <w:r w:rsidRPr="00EE325A">
                    <w:rPr>
                      <w:rFonts w:ascii="Georgia" w:hAnsi="Georgia" w:cs="Georgia"/>
                      <w:b/>
                      <w:bCs/>
                      <w:color w:val="000066"/>
                      <w:sz w:val="48"/>
                      <w:szCs w:val="40"/>
                      <w:vertAlign w:val="subscript"/>
                    </w:rPr>
                    <w:t xml:space="preserve"> Avon Park</w:t>
                  </w:r>
                </w:p>
                <w:p w:rsidR="00D75943" w:rsidRPr="00EE325A" w:rsidRDefault="00D75943">
                  <w:pPr>
                    <w:autoSpaceDE w:val="0"/>
                    <w:autoSpaceDN w:val="0"/>
                    <w:adjustRightInd w:val="0"/>
                    <w:jc w:val="center"/>
                    <w:rPr>
                      <w:rFonts w:ascii="Georgia" w:hAnsi="Georgia" w:cs="Georgia"/>
                      <w:b/>
                      <w:bCs/>
                      <w:color w:val="000066"/>
                      <w:sz w:val="48"/>
                      <w:szCs w:val="40"/>
                      <w:vertAlign w:val="subscript"/>
                    </w:rPr>
                  </w:pPr>
                  <w:r w:rsidRPr="00EE325A">
                    <w:rPr>
                      <w:rFonts w:ascii="Georgia" w:hAnsi="Georgia" w:cs="Georgia"/>
                      <w:b/>
                      <w:bCs/>
                      <w:color w:val="000066"/>
                      <w:sz w:val="48"/>
                      <w:szCs w:val="40"/>
                      <w:vertAlign w:val="subscript"/>
                    </w:rPr>
                    <w:t xml:space="preserve">Sebring </w:t>
                  </w:r>
                </w:p>
                <w:p w:rsidR="00D75943" w:rsidRPr="00EE325A" w:rsidRDefault="00D75943">
                  <w:pPr>
                    <w:autoSpaceDE w:val="0"/>
                    <w:autoSpaceDN w:val="0"/>
                    <w:adjustRightInd w:val="0"/>
                    <w:jc w:val="center"/>
                    <w:rPr>
                      <w:rFonts w:ascii="Georgia" w:hAnsi="Georgia" w:cs="Georgia"/>
                      <w:b/>
                      <w:bCs/>
                      <w:color w:val="000066"/>
                      <w:sz w:val="48"/>
                      <w:szCs w:val="40"/>
                      <w:vertAlign w:val="subscript"/>
                    </w:rPr>
                  </w:pPr>
                  <w:r w:rsidRPr="00EE325A">
                    <w:rPr>
                      <w:rFonts w:ascii="Georgia" w:hAnsi="Georgia" w:cs="Georgia"/>
                      <w:b/>
                      <w:bCs/>
                      <w:color w:val="000066"/>
                      <w:sz w:val="48"/>
                      <w:szCs w:val="40"/>
                      <w:vertAlign w:val="subscript"/>
                    </w:rPr>
                    <w:t>Lake Placid</w:t>
                  </w:r>
                </w:p>
              </w:txbxContent>
            </v:textbox>
          </v:shape>
        </w:pict>
      </w:r>
    </w:p>
    <w:p w:rsidR="00977437" w:rsidRDefault="00977437"/>
    <w:p w:rsidR="00977437" w:rsidRDefault="00977437"/>
    <w:p w:rsidR="00977437" w:rsidRDefault="00977437"/>
    <w:p w:rsidR="00977437" w:rsidRDefault="00977437" w:rsidP="00977437">
      <w:pPr>
        <w:ind w:left="720"/>
      </w:pPr>
      <w:r>
        <w:t xml:space="preserve">        </w:t>
      </w:r>
    </w:p>
    <w:p w:rsidR="00977437" w:rsidRPr="00977437" w:rsidRDefault="00977437" w:rsidP="00977437">
      <w:pPr>
        <w:ind w:left="720"/>
        <w:rPr>
          <w:sz w:val="10"/>
          <w:szCs w:val="10"/>
        </w:rPr>
      </w:pPr>
    </w:p>
    <w:p w:rsidR="00410EAE" w:rsidRDefault="003E55FB" w:rsidP="00977437">
      <w:pPr>
        <w:ind w:left="720"/>
      </w:pPr>
      <w:r>
        <w:rPr>
          <w:noProof/>
          <w:sz w:val="20"/>
        </w:rPr>
        <w:drawing>
          <wp:anchor distT="0" distB="0" distL="114300" distR="114300" simplePos="0" relativeHeight="251657216" behindDoc="0" locked="0" layoutInCell="1" allowOverlap="1">
            <wp:simplePos x="0" y="0"/>
            <wp:positionH relativeFrom="column">
              <wp:posOffset>8162925</wp:posOffset>
            </wp:positionH>
            <wp:positionV relativeFrom="paragraph">
              <wp:posOffset>2919730</wp:posOffset>
            </wp:positionV>
            <wp:extent cx="685800" cy="647700"/>
            <wp:effectExtent l="19050" t="0" r="0" b="0"/>
            <wp:wrapNone/>
            <wp:docPr id="6" name="Picture 6" descr="equ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qualnew"/>
                    <pic:cNvPicPr>
                      <a:picLocks noChangeAspect="1" noChangeArrowheads="1"/>
                    </pic:cNvPicPr>
                  </pic:nvPicPr>
                  <pic:blipFill>
                    <a:blip r:embed="rId6" cstate="print"/>
                    <a:srcRect/>
                    <a:stretch>
                      <a:fillRect/>
                    </a:stretch>
                  </pic:blipFill>
                  <pic:spPr bwMode="auto">
                    <a:xfrm>
                      <a:off x="0" y="0"/>
                      <a:ext cx="685800" cy="647700"/>
                    </a:xfrm>
                    <a:prstGeom prst="rect">
                      <a:avLst/>
                    </a:prstGeom>
                    <a:noFill/>
                  </pic:spPr>
                </pic:pic>
              </a:graphicData>
            </a:graphic>
          </wp:anchor>
        </w:drawing>
      </w:r>
      <w:r w:rsidR="00977437">
        <w:t xml:space="preserve">  </w:t>
      </w:r>
    </w:p>
    <w:p w:rsidR="00410EAE" w:rsidRDefault="00410EAE" w:rsidP="00977437">
      <w:pPr>
        <w:ind w:left="720"/>
      </w:pPr>
    </w:p>
    <w:p w:rsidR="00410EAE" w:rsidRDefault="00410EAE" w:rsidP="00977437">
      <w:pPr>
        <w:ind w:left="720"/>
      </w:pPr>
    </w:p>
    <w:p w:rsidR="00410EAE" w:rsidRDefault="00410EAE" w:rsidP="00977437">
      <w:pPr>
        <w:ind w:left="720"/>
      </w:pPr>
    </w:p>
    <w:p w:rsidR="00410EAE" w:rsidRDefault="00410EAE" w:rsidP="00977437">
      <w:pPr>
        <w:ind w:left="720"/>
      </w:pPr>
    </w:p>
    <w:p w:rsidR="00410EAE" w:rsidRDefault="00410EAE" w:rsidP="00977437">
      <w:pPr>
        <w:ind w:left="720"/>
      </w:pPr>
    </w:p>
    <w:p w:rsidR="00410EAE" w:rsidRDefault="007700F7" w:rsidP="00977437">
      <w:pPr>
        <w:ind w:left="720"/>
      </w:pPr>
      <w:r w:rsidRPr="007700F7">
        <w:rPr>
          <w:noProof/>
          <w:sz w:val="20"/>
        </w:rPr>
        <w:pict>
          <v:shape id="_x0000_s1033" type="#_x0000_t202" style="position:absolute;left:0;text-align:left;margin-left:16.5pt;margin-top:4.5pt;width:192.75pt;height:143.55pt;z-index:251660288" o:regroupid="1" filled="f" stroked="f">
            <v:fill color2="#eaeaea"/>
            <v:shadow color="#eaeaea"/>
            <v:textbox style="mso-next-textbox:#_x0000_s1033;mso-fit-shape-to-text:t">
              <w:txbxContent>
                <w:p w:rsidR="00375BD0" w:rsidRDefault="00B9662D" w:rsidP="003E55FB">
                  <w:pPr>
                    <w:autoSpaceDE w:val="0"/>
                    <w:autoSpaceDN w:val="0"/>
                    <w:adjustRightInd w:val="0"/>
                    <w:jc w:val="center"/>
                    <w:rPr>
                      <w:rFonts w:ascii="Georgia" w:hAnsi="Georgia" w:cs="Arial"/>
                      <w:b/>
                      <w:bCs/>
                      <w:color w:val="000066"/>
                      <w:sz w:val="26"/>
                      <w:szCs w:val="26"/>
                    </w:rPr>
                  </w:pPr>
                  <w:r w:rsidRPr="003E55FB">
                    <w:rPr>
                      <w:rFonts w:ascii="Georgia" w:hAnsi="Georgia" w:cs="Arial"/>
                      <w:b/>
                      <w:bCs/>
                      <w:color w:val="000066"/>
                      <w:sz w:val="26"/>
                      <w:szCs w:val="26"/>
                    </w:rPr>
                    <w:t>All Closed Real Estate</w:t>
                  </w:r>
                  <w:r w:rsidR="003E55FB" w:rsidRPr="003E55FB">
                    <w:rPr>
                      <w:rFonts w:ascii="Georgia" w:hAnsi="Georgia" w:cs="Arial"/>
                      <w:b/>
                      <w:bCs/>
                      <w:color w:val="000066"/>
                      <w:sz w:val="26"/>
                      <w:szCs w:val="26"/>
                    </w:rPr>
                    <w:t xml:space="preserve"> </w:t>
                  </w:r>
                  <w:r w:rsidRPr="003E55FB">
                    <w:rPr>
                      <w:rFonts w:ascii="Georgia" w:hAnsi="Georgia" w:cs="Arial"/>
                      <w:b/>
                      <w:bCs/>
                      <w:color w:val="000066"/>
                      <w:sz w:val="26"/>
                      <w:szCs w:val="26"/>
                    </w:rPr>
                    <w:t>Transaction</w:t>
                  </w:r>
                  <w:r w:rsidR="00BE48E7" w:rsidRPr="003E55FB">
                    <w:rPr>
                      <w:rFonts w:ascii="Georgia" w:hAnsi="Georgia" w:cs="Arial"/>
                      <w:b/>
                      <w:bCs/>
                      <w:color w:val="000066"/>
                      <w:sz w:val="26"/>
                      <w:szCs w:val="26"/>
                    </w:rPr>
                    <w:t>s</w:t>
                  </w:r>
                </w:p>
                <w:p w:rsidR="00EE325A" w:rsidRPr="003E55FB" w:rsidRDefault="00EE325A" w:rsidP="003E55FB">
                  <w:pPr>
                    <w:autoSpaceDE w:val="0"/>
                    <w:autoSpaceDN w:val="0"/>
                    <w:adjustRightInd w:val="0"/>
                    <w:jc w:val="center"/>
                    <w:rPr>
                      <w:rFonts w:ascii="Georgia" w:hAnsi="Georgia" w:cs="Arial"/>
                      <w:b/>
                      <w:bCs/>
                      <w:color w:val="000066"/>
                      <w:sz w:val="26"/>
                      <w:szCs w:val="26"/>
                    </w:rPr>
                  </w:pPr>
                </w:p>
                <w:p w:rsidR="00EE325A" w:rsidRDefault="002F6F5A" w:rsidP="003E55FB">
                  <w:pPr>
                    <w:autoSpaceDE w:val="0"/>
                    <w:autoSpaceDN w:val="0"/>
                    <w:adjustRightInd w:val="0"/>
                    <w:jc w:val="center"/>
                    <w:rPr>
                      <w:rFonts w:ascii="Georgia" w:hAnsi="Georgia" w:cs="Arial"/>
                      <w:b/>
                      <w:bCs/>
                      <w:color w:val="000066"/>
                      <w:sz w:val="26"/>
                      <w:szCs w:val="26"/>
                    </w:rPr>
                  </w:pPr>
                  <w:r w:rsidRPr="003E55FB">
                    <w:rPr>
                      <w:rFonts w:ascii="Georgia" w:hAnsi="Georgia" w:cs="Arial"/>
                      <w:b/>
                      <w:bCs/>
                      <w:color w:val="000066"/>
                      <w:sz w:val="26"/>
                      <w:szCs w:val="26"/>
                    </w:rPr>
                    <w:t xml:space="preserve">January </w:t>
                  </w:r>
                  <w:r w:rsidR="006E5995" w:rsidRPr="003E55FB">
                    <w:rPr>
                      <w:rFonts w:ascii="Georgia" w:hAnsi="Georgia" w:cs="Arial"/>
                      <w:b/>
                      <w:bCs/>
                      <w:color w:val="000066"/>
                      <w:sz w:val="26"/>
                      <w:szCs w:val="26"/>
                    </w:rPr>
                    <w:t>1 –</w:t>
                  </w:r>
                  <w:r w:rsidR="0025615B">
                    <w:rPr>
                      <w:rFonts w:ascii="Georgia" w:hAnsi="Georgia" w:cs="Arial"/>
                      <w:b/>
                      <w:bCs/>
                      <w:color w:val="000066"/>
                      <w:sz w:val="26"/>
                      <w:szCs w:val="26"/>
                    </w:rPr>
                    <w:t xml:space="preserve"> </w:t>
                  </w:r>
                  <w:r w:rsidR="003F2E08">
                    <w:rPr>
                      <w:rFonts w:ascii="Georgia" w:hAnsi="Georgia" w:cs="Arial"/>
                      <w:b/>
                      <w:bCs/>
                      <w:color w:val="000066"/>
                      <w:sz w:val="26"/>
                      <w:szCs w:val="26"/>
                    </w:rPr>
                    <w:t>March</w:t>
                  </w:r>
                  <w:r w:rsidR="0002351A">
                    <w:rPr>
                      <w:rFonts w:ascii="Georgia" w:hAnsi="Georgia" w:cs="Arial"/>
                      <w:b/>
                      <w:bCs/>
                      <w:color w:val="000066"/>
                      <w:sz w:val="26"/>
                      <w:szCs w:val="26"/>
                    </w:rPr>
                    <w:t xml:space="preserve"> 3</w:t>
                  </w:r>
                  <w:r w:rsidR="000305CD">
                    <w:rPr>
                      <w:rFonts w:ascii="Georgia" w:hAnsi="Georgia" w:cs="Arial"/>
                      <w:b/>
                      <w:bCs/>
                      <w:color w:val="000066"/>
                      <w:sz w:val="26"/>
                      <w:szCs w:val="26"/>
                    </w:rPr>
                    <w:t>1</w:t>
                  </w:r>
                  <w:r w:rsidR="0025615B">
                    <w:rPr>
                      <w:rFonts w:ascii="Georgia" w:hAnsi="Georgia" w:cs="Arial"/>
                      <w:b/>
                      <w:bCs/>
                      <w:color w:val="000066"/>
                      <w:sz w:val="26"/>
                      <w:szCs w:val="26"/>
                    </w:rPr>
                    <w:t>,</w:t>
                  </w:r>
                </w:p>
                <w:p w:rsidR="00D75943" w:rsidRDefault="0025615B" w:rsidP="003E55FB">
                  <w:pPr>
                    <w:autoSpaceDE w:val="0"/>
                    <w:autoSpaceDN w:val="0"/>
                    <w:adjustRightInd w:val="0"/>
                    <w:jc w:val="center"/>
                    <w:rPr>
                      <w:rFonts w:ascii="Georgia" w:hAnsi="Georgia" w:cs="Arial"/>
                      <w:b/>
                      <w:bCs/>
                      <w:color w:val="000066"/>
                      <w:sz w:val="26"/>
                      <w:szCs w:val="26"/>
                    </w:rPr>
                  </w:pPr>
                  <w:r>
                    <w:rPr>
                      <w:rFonts w:ascii="Georgia" w:hAnsi="Georgia" w:cs="Arial"/>
                      <w:b/>
                      <w:bCs/>
                      <w:color w:val="000066"/>
                      <w:sz w:val="26"/>
                      <w:szCs w:val="26"/>
                    </w:rPr>
                    <w:t xml:space="preserve"> 201</w:t>
                  </w:r>
                  <w:r w:rsidR="003F2E08">
                    <w:rPr>
                      <w:rFonts w:ascii="Georgia" w:hAnsi="Georgia" w:cs="Arial"/>
                      <w:b/>
                      <w:bCs/>
                      <w:color w:val="000066"/>
                      <w:sz w:val="26"/>
                      <w:szCs w:val="26"/>
                    </w:rPr>
                    <w:t>9</w:t>
                  </w:r>
                </w:p>
                <w:p w:rsidR="00EE325A" w:rsidRDefault="00EE325A" w:rsidP="003E55FB">
                  <w:pPr>
                    <w:autoSpaceDE w:val="0"/>
                    <w:autoSpaceDN w:val="0"/>
                    <w:adjustRightInd w:val="0"/>
                    <w:jc w:val="center"/>
                    <w:rPr>
                      <w:rFonts w:ascii="Georgia" w:hAnsi="Georgia" w:cs="Arial"/>
                      <w:b/>
                      <w:bCs/>
                      <w:color w:val="000066"/>
                      <w:sz w:val="26"/>
                      <w:szCs w:val="26"/>
                    </w:rPr>
                  </w:pPr>
                </w:p>
                <w:p w:rsidR="00375BD0" w:rsidRPr="003E55FB" w:rsidRDefault="00375BD0" w:rsidP="003E55FB">
                  <w:pPr>
                    <w:autoSpaceDE w:val="0"/>
                    <w:autoSpaceDN w:val="0"/>
                    <w:adjustRightInd w:val="0"/>
                    <w:jc w:val="center"/>
                    <w:rPr>
                      <w:rFonts w:ascii="Georgia" w:hAnsi="Georgia" w:cs="Arial"/>
                      <w:b/>
                      <w:bCs/>
                      <w:color w:val="000066"/>
                      <w:sz w:val="10"/>
                      <w:szCs w:val="10"/>
                    </w:rPr>
                  </w:pPr>
                </w:p>
                <w:p w:rsidR="00FE5412" w:rsidRDefault="0028108C" w:rsidP="003E55FB">
                  <w:pPr>
                    <w:autoSpaceDE w:val="0"/>
                    <w:autoSpaceDN w:val="0"/>
                    <w:adjustRightInd w:val="0"/>
                    <w:jc w:val="center"/>
                    <w:rPr>
                      <w:rFonts w:ascii="Georgia" w:hAnsi="Georgia" w:cs="Arial"/>
                      <w:color w:val="000066"/>
                      <w:szCs w:val="26"/>
                    </w:rPr>
                  </w:pPr>
                  <w:r w:rsidRPr="00EE325A">
                    <w:rPr>
                      <w:rFonts w:ascii="Georgia" w:hAnsi="Georgia" w:cs="Arial"/>
                      <w:color w:val="000066"/>
                      <w:szCs w:val="26"/>
                    </w:rPr>
                    <w:t>Heartland Association</w:t>
                  </w:r>
                </w:p>
                <w:p w:rsidR="00D75943" w:rsidRPr="00EE325A" w:rsidRDefault="0028108C" w:rsidP="003E55FB">
                  <w:pPr>
                    <w:autoSpaceDE w:val="0"/>
                    <w:autoSpaceDN w:val="0"/>
                    <w:adjustRightInd w:val="0"/>
                    <w:jc w:val="center"/>
                    <w:rPr>
                      <w:rFonts w:ascii="Georgia" w:hAnsi="Georgia" w:cs="Arial"/>
                      <w:color w:val="000066"/>
                      <w:szCs w:val="26"/>
                    </w:rPr>
                  </w:pPr>
                  <w:r w:rsidRPr="00EE325A">
                    <w:rPr>
                      <w:rFonts w:ascii="Georgia" w:hAnsi="Georgia" w:cs="Arial"/>
                      <w:color w:val="000066"/>
                      <w:szCs w:val="26"/>
                    </w:rPr>
                    <w:t xml:space="preserve"> </w:t>
                  </w:r>
                  <w:proofErr w:type="gramStart"/>
                  <w:r w:rsidRPr="00EE325A">
                    <w:rPr>
                      <w:rFonts w:ascii="Georgia" w:hAnsi="Georgia" w:cs="Arial"/>
                      <w:color w:val="000066"/>
                      <w:szCs w:val="26"/>
                    </w:rPr>
                    <w:t>of</w:t>
                  </w:r>
                  <w:proofErr w:type="gramEnd"/>
                  <w:r w:rsidRPr="00EE325A">
                    <w:rPr>
                      <w:rFonts w:ascii="Georgia" w:hAnsi="Georgia" w:cs="Arial"/>
                      <w:color w:val="000066"/>
                      <w:szCs w:val="26"/>
                    </w:rPr>
                    <w:t xml:space="preserve"> Realtors</w:t>
                  </w:r>
                </w:p>
              </w:txbxContent>
            </v:textbox>
          </v:shape>
        </w:pict>
      </w:r>
    </w:p>
    <w:p w:rsidR="00410EAE" w:rsidRDefault="00410EAE" w:rsidP="00977437">
      <w:pPr>
        <w:ind w:left="720"/>
      </w:pPr>
    </w:p>
    <w:p w:rsidR="00410EAE" w:rsidRDefault="00410EAE" w:rsidP="00977437">
      <w:pPr>
        <w:ind w:left="720"/>
      </w:pPr>
    </w:p>
    <w:p w:rsidR="00410EAE" w:rsidRDefault="00410EAE" w:rsidP="00977437">
      <w:pPr>
        <w:ind w:left="720"/>
      </w:pPr>
    </w:p>
    <w:p w:rsidR="00410EAE" w:rsidRDefault="00410EAE" w:rsidP="00977437">
      <w:pPr>
        <w:ind w:left="720"/>
      </w:pPr>
    </w:p>
    <w:p w:rsidR="00410EAE" w:rsidRDefault="00410EAE" w:rsidP="00977437">
      <w:pPr>
        <w:ind w:left="720"/>
      </w:pPr>
    </w:p>
    <w:p w:rsidR="00410EAE" w:rsidRDefault="00EE325A" w:rsidP="00EE325A">
      <w:r>
        <w:t xml:space="preserve">       </w:t>
      </w:r>
    </w:p>
    <w:p w:rsidR="00872E6E" w:rsidRDefault="00E5648E" w:rsidP="00E5648E">
      <w:r>
        <w:t xml:space="preserve">      </w:t>
      </w:r>
    </w:p>
    <w:p w:rsidR="00872E6E" w:rsidRDefault="00872E6E" w:rsidP="00E5648E"/>
    <w:p w:rsidR="003D7DD2" w:rsidRDefault="007700F7" w:rsidP="00E5648E">
      <w:r w:rsidRPr="007700F7">
        <w:rPr>
          <w:noProof/>
          <w:sz w:val="20"/>
        </w:rPr>
        <w:pict>
          <v:shape id="_x0000_s1028" type="#_x0000_t202" style="position:absolute;margin-left:234pt;margin-top:6pt;width:406.2pt;height:72.55pt;z-index:251655168" o:regroupid="1" filled="f" stroked="f">
            <v:fill color2="#eaeaea"/>
            <v:shadow color="#eaeaea"/>
            <v:textbox style="mso-next-textbox:#_x0000_s1028">
              <w:txbxContent>
                <w:p w:rsidR="00D75943" w:rsidRPr="00121B80" w:rsidRDefault="00D75943" w:rsidP="003E55FB">
                  <w:pPr>
                    <w:autoSpaceDE w:val="0"/>
                    <w:autoSpaceDN w:val="0"/>
                    <w:adjustRightInd w:val="0"/>
                    <w:jc w:val="both"/>
                    <w:rPr>
                      <w:rFonts w:ascii="Arial" w:hAnsi="Arial" w:cs="Arial"/>
                      <w:color w:val="000000"/>
                      <w:sz w:val="14"/>
                      <w:szCs w:val="14"/>
                    </w:rPr>
                  </w:pPr>
                  <w:r w:rsidRPr="00121B80">
                    <w:rPr>
                      <w:rFonts w:ascii="Arial" w:hAnsi="Arial" w:cs="Arial"/>
                      <w:color w:val="000000"/>
                      <w:sz w:val="14"/>
                      <w:szCs w:val="14"/>
                    </w:rPr>
                    <w:t xml:space="preserve">Data provided by Real Data Strategies, Inc., an independent consulting company.  The above representation is based in whole or in part on data supplied by the referenced Multiple Listing Service and </w:t>
                  </w:r>
                  <w:r w:rsidR="00E90FBF" w:rsidRPr="00121B80">
                    <w:rPr>
                      <w:rFonts w:ascii="Arial" w:hAnsi="Arial" w:cs="Arial"/>
                      <w:color w:val="000000"/>
                      <w:sz w:val="14"/>
                      <w:szCs w:val="14"/>
                    </w:rPr>
                    <w:t>its</w:t>
                  </w:r>
                  <w:r w:rsidRPr="00121B80">
                    <w:rPr>
                      <w:rFonts w:ascii="Arial" w:hAnsi="Arial" w:cs="Arial"/>
                      <w:color w:val="000000"/>
                      <w:sz w:val="14"/>
                      <w:szCs w:val="14"/>
                    </w:rPr>
                    <w:t xml:space="preserve"> member ass</w:t>
                  </w:r>
                  <w:r w:rsidR="00E90FBF">
                    <w:rPr>
                      <w:rFonts w:ascii="Arial" w:hAnsi="Arial" w:cs="Arial"/>
                      <w:color w:val="000000"/>
                      <w:sz w:val="14"/>
                      <w:szCs w:val="14"/>
                    </w:rPr>
                    <w:t xml:space="preserve">ociations of REALTORS®.  </w:t>
                  </w:r>
                  <w:r w:rsidRPr="00121B80">
                    <w:rPr>
                      <w:rFonts w:ascii="Arial" w:hAnsi="Arial" w:cs="Arial"/>
                      <w:color w:val="000000"/>
                      <w:sz w:val="14"/>
                      <w:szCs w:val="14"/>
                    </w:rPr>
                    <w:t xml:space="preserve"> RE/</w:t>
                  </w:r>
                  <w:smartTag w:uri="urn:schemas-microsoft-com:office:smarttags" w:element="stockticker">
                    <w:r w:rsidRPr="00121B80">
                      <w:rPr>
                        <w:rFonts w:ascii="Arial" w:hAnsi="Arial" w:cs="Arial"/>
                        <w:color w:val="000000"/>
                        <w:sz w:val="14"/>
                        <w:szCs w:val="14"/>
                      </w:rPr>
                      <w:t>MAX</w:t>
                    </w:r>
                  </w:smartTag>
                  <w:r w:rsidRPr="00121B80">
                    <w:rPr>
                      <w:rFonts w:ascii="Arial" w:hAnsi="Arial" w:cs="Arial"/>
                      <w:color w:val="000000"/>
                      <w:sz w:val="14"/>
                      <w:szCs w:val="14"/>
                    </w:rPr>
                    <w:t xml:space="preserve">, the Multiple Listing Service, </w:t>
                  </w:r>
                  <w:r w:rsidR="00E90FBF">
                    <w:rPr>
                      <w:rFonts w:ascii="Arial" w:hAnsi="Arial" w:cs="Arial"/>
                      <w:color w:val="000000"/>
                      <w:sz w:val="14"/>
                      <w:szCs w:val="14"/>
                    </w:rPr>
                    <w:t>neither</w:t>
                  </w:r>
                  <w:r w:rsidRPr="00121B80">
                    <w:rPr>
                      <w:rFonts w:ascii="Arial" w:hAnsi="Arial" w:cs="Arial"/>
                      <w:color w:val="000000"/>
                      <w:sz w:val="14"/>
                      <w:szCs w:val="14"/>
                    </w:rPr>
                    <w:t xml:space="preserve"> the member associations of REALTORS® guarantee or are in any way responsible for data accuracy.  The data includes all reported listings sold and closed for the referenced area, county or city.  The data may not reflect all real estate activity in the marketplace. This is not intended to solicit property currently listed with any other broker.  This chart cannot be altered in any </w:t>
                  </w:r>
                  <w:r w:rsidR="0028108C" w:rsidRPr="00121B80">
                    <w:rPr>
                      <w:rFonts w:ascii="Arial" w:hAnsi="Arial" w:cs="Arial"/>
                      <w:color w:val="000000"/>
                      <w:sz w:val="14"/>
                      <w:szCs w:val="14"/>
                    </w:rPr>
                    <w:t>way;</w:t>
                  </w:r>
                  <w:r w:rsidRPr="00121B80">
                    <w:rPr>
                      <w:rFonts w:ascii="Arial" w:hAnsi="Arial" w:cs="Arial"/>
                      <w:color w:val="000000"/>
                      <w:sz w:val="14"/>
                      <w:szCs w:val="14"/>
                    </w:rPr>
                    <w:t xml:space="preserve"> it must be shown in its original format. Any changes are strictly prohibited. Each RE/</w:t>
                  </w:r>
                  <w:smartTag w:uri="urn:schemas-microsoft-com:office:smarttags" w:element="stockticker">
                    <w:r w:rsidRPr="00121B80">
                      <w:rPr>
                        <w:rFonts w:ascii="Arial" w:hAnsi="Arial" w:cs="Arial"/>
                        <w:color w:val="000000"/>
                        <w:sz w:val="14"/>
                        <w:szCs w:val="14"/>
                      </w:rPr>
                      <w:t>MAX</w:t>
                    </w:r>
                  </w:smartTag>
                  <w:r w:rsidRPr="00121B80">
                    <w:rPr>
                      <w:rFonts w:ascii="Arial" w:hAnsi="Arial" w:cs="Arial"/>
                      <w:color w:val="000000"/>
                      <w:sz w:val="14"/>
                      <w:szCs w:val="14"/>
                    </w:rPr>
                    <w:t xml:space="preserve"> office is independently owned and operated.</w:t>
                  </w:r>
                </w:p>
              </w:txbxContent>
            </v:textbox>
          </v:shape>
        </w:pict>
      </w:r>
      <w:r w:rsidR="00872E6E">
        <w:t xml:space="preserve">       </w:t>
      </w:r>
    </w:p>
    <w:p w:rsidR="003D7DD2" w:rsidRDefault="003D7DD2" w:rsidP="00E5648E">
      <w:r>
        <w:t xml:space="preserve">    </w:t>
      </w:r>
    </w:p>
    <w:p w:rsidR="00D75943" w:rsidRPr="00977437" w:rsidRDefault="007756D7" w:rsidP="00E66BE1">
      <w:pPr>
        <w:rPr>
          <w:rFonts w:ascii="Trebuchet MS" w:hAnsi="Trebuchet MS"/>
          <w:b/>
          <w:i/>
          <w:color w:val="548DD4" w:themeColor="text2" w:themeTint="99"/>
          <w:sz w:val="36"/>
          <w:szCs w:val="36"/>
        </w:rPr>
      </w:pPr>
      <w:r>
        <w:t xml:space="preserve">       </w:t>
      </w:r>
      <w:r w:rsidR="00701838">
        <w:rPr>
          <w:noProof/>
        </w:rPr>
        <w:drawing>
          <wp:inline distT="0" distB="0" distL="0" distR="0">
            <wp:extent cx="2371344" cy="865632"/>
            <wp:effectExtent l="19050" t="0" r="0" b="0"/>
            <wp:docPr id="1" name="Picture 0" descr="Sebr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ring Logo.jpg"/>
                    <pic:cNvPicPr/>
                  </pic:nvPicPr>
                  <pic:blipFill>
                    <a:blip r:embed="rId7" cstate="print"/>
                    <a:stretch>
                      <a:fillRect/>
                    </a:stretch>
                  </pic:blipFill>
                  <pic:spPr>
                    <a:xfrm>
                      <a:off x="0" y="0"/>
                      <a:ext cx="2371344" cy="865632"/>
                    </a:xfrm>
                    <a:prstGeom prst="rect">
                      <a:avLst/>
                    </a:prstGeom>
                  </pic:spPr>
                </pic:pic>
              </a:graphicData>
            </a:graphic>
          </wp:inline>
        </w:drawing>
      </w:r>
      <w:r w:rsidR="007700F7" w:rsidRPr="007700F7">
        <w:rPr>
          <w:noProof/>
          <w:color w:val="548DD4" w:themeColor="text2" w:themeTint="99"/>
          <w:sz w:val="20"/>
        </w:rPr>
        <w:pict>
          <v:shape id="_x0000_s1031" type="#_x0000_t202" style="position:absolute;margin-left:36pt;margin-top:448.2pt;width:159pt;height:80.8pt;z-index:251658240;mso-position-horizontal-relative:text;mso-position-vertical-relative:text" o:regroupid="1" filled="f" stroked="f">
            <v:fill color2="#eaeaea"/>
            <v:shadow color="#eaeaea"/>
            <v:textbox style="mso-next-textbox:#_x0000_s1031;mso-fit-shape-to-text:t">
              <w:txbxContent>
                <w:p w:rsidR="00D75943" w:rsidRDefault="00E90FBF">
                  <w:pPr>
                    <w:autoSpaceDE w:val="0"/>
                    <w:autoSpaceDN w:val="0"/>
                    <w:adjustRightInd w:val="0"/>
                    <w:rPr>
                      <w:b/>
                      <w:bCs/>
                      <w:color w:val="000066"/>
                      <w:sz w:val="64"/>
                      <w:szCs w:val="64"/>
                      <w:vertAlign w:val="subscript"/>
                    </w:rPr>
                  </w:pPr>
                  <w:proofErr w:type="gramStart"/>
                  <w:r>
                    <w:rPr>
                      <w:b/>
                      <w:bCs/>
                      <w:color w:val="000066"/>
                      <w:sz w:val="64"/>
                      <w:szCs w:val="64"/>
                      <w:vertAlign w:val="subscript"/>
                    </w:rPr>
                    <w:t>Of</w:t>
                  </w:r>
                  <w:r w:rsidR="00D75943">
                    <w:rPr>
                      <w:b/>
                      <w:bCs/>
                      <w:color w:val="000066"/>
                      <w:sz w:val="64"/>
                      <w:szCs w:val="64"/>
                      <w:vertAlign w:val="subscript"/>
                    </w:rPr>
                    <w:t xml:space="preserve"> Florida, </w:t>
                  </w:r>
                  <w:r>
                    <w:rPr>
                      <w:b/>
                      <w:bCs/>
                      <w:color w:val="000066"/>
                      <w:sz w:val="64"/>
                      <w:szCs w:val="64"/>
                      <w:vertAlign w:val="subscript"/>
                    </w:rPr>
                    <w:t>I</w:t>
                  </w:r>
                  <w:r w:rsidR="00D75943">
                    <w:rPr>
                      <w:b/>
                      <w:bCs/>
                      <w:color w:val="000066"/>
                      <w:sz w:val="64"/>
                      <w:szCs w:val="64"/>
                      <w:vertAlign w:val="subscript"/>
                    </w:rPr>
                    <w:t>nc.</w:t>
                  </w:r>
                  <w:proofErr w:type="gramEnd"/>
                </w:p>
              </w:txbxContent>
            </v:textbox>
          </v:shape>
        </w:pict>
      </w:r>
    </w:p>
    <w:sectPr w:rsidR="00D75943" w:rsidRPr="00977437" w:rsidSect="006A5AA2">
      <w:pgSz w:w="15840" w:h="12240" w:orient="landscape"/>
      <w:pgMar w:top="54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BA5EFA"/>
    <w:rsid w:val="0001220D"/>
    <w:rsid w:val="0002351A"/>
    <w:rsid w:val="000305CD"/>
    <w:rsid w:val="000659C6"/>
    <w:rsid w:val="0006651E"/>
    <w:rsid w:val="00070501"/>
    <w:rsid w:val="000765A2"/>
    <w:rsid w:val="000858A2"/>
    <w:rsid w:val="0009225E"/>
    <w:rsid w:val="000A6728"/>
    <w:rsid w:val="000B3CD1"/>
    <w:rsid w:val="000C7AD5"/>
    <w:rsid w:val="000F3982"/>
    <w:rsid w:val="00101BC8"/>
    <w:rsid w:val="00103FF3"/>
    <w:rsid w:val="00107D4F"/>
    <w:rsid w:val="00107F44"/>
    <w:rsid w:val="00115DE6"/>
    <w:rsid w:val="00121103"/>
    <w:rsid w:val="00121B80"/>
    <w:rsid w:val="00131F31"/>
    <w:rsid w:val="00132EDC"/>
    <w:rsid w:val="00134A0F"/>
    <w:rsid w:val="0014107C"/>
    <w:rsid w:val="00150E67"/>
    <w:rsid w:val="00151DAC"/>
    <w:rsid w:val="00161344"/>
    <w:rsid w:val="001B0939"/>
    <w:rsid w:val="001B6071"/>
    <w:rsid w:val="001C4DFF"/>
    <w:rsid w:val="001C5F9A"/>
    <w:rsid w:val="001D7E0C"/>
    <w:rsid w:val="00253A5D"/>
    <w:rsid w:val="00254E57"/>
    <w:rsid w:val="0025615B"/>
    <w:rsid w:val="00275134"/>
    <w:rsid w:val="0028108C"/>
    <w:rsid w:val="002841D7"/>
    <w:rsid w:val="00285788"/>
    <w:rsid w:val="00286067"/>
    <w:rsid w:val="002A01C6"/>
    <w:rsid w:val="002B46D6"/>
    <w:rsid w:val="002D350B"/>
    <w:rsid w:val="002D60A4"/>
    <w:rsid w:val="002F6F5A"/>
    <w:rsid w:val="00306189"/>
    <w:rsid w:val="00326EDC"/>
    <w:rsid w:val="003369DB"/>
    <w:rsid w:val="00356EB4"/>
    <w:rsid w:val="0037154A"/>
    <w:rsid w:val="00375BD0"/>
    <w:rsid w:val="003A12D2"/>
    <w:rsid w:val="003B7C92"/>
    <w:rsid w:val="003C7824"/>
    <w:rsid w:val="003D3AA1"/>
    <w:rsid w:val="003D43DF"/>
    <w:rsid w:val="003D7DD2"/>
    <w:rsid w:val="003E036F"/>
    <w:rsid w:val="003E55FB"/>
    <w:rsid w:val="003E66BC"/>
    <w:rsid w:val="003F2AC8"/>
    <w:rsid w:val="003F2E08"/>
    <w:rsid w:val="00410EAE"/>
    <w:rsid w:val="00413CE4"/>
    <w:rsid w:val="00421242"/>
    <w:rsid w:val="00454B60"/>
    <w:rsid w:val="00455CC8"/>
    <w:rsid w:val="004573D0"/>
    <w:rsid w:val="00486153"/>
    <w:rsid w:val="004A4C48"/>
    <w:rsid w:val="005121BD"/>
    <w:rsid w:val="00553176"/>
    <w:rsid w:val="00563370"/>
    <w:rsid w:val="00572275"/>
    <w:rsid w:val="00591E7B"/>
    <w:rsid w:val="00597FBD"/>
    <w:rsid w:val="005A2403"/>
    <w:rsid w:val="00620EE1"/>
    <w:rsid w:val="00636ABD"/>
    <w:rsid w:val="0067431F"/>
    <w:rsid w:val="00680A58"/>
    <w:rsid w:val="00682DBA"/>
    <w:rsid w:val="00687A9F"/>
    <w:rsid w:val="00694E36"/>
    <w:rsid w:val="006A5AA2"/>
    <w:rsid w:val="006B187A"/>
    <w:rsid w:val="006D1073"/>
    <w:rsid w:val="006E5995"/>
    <w:rsid w:val="006E6BD6"/>
    <w:rsid w:val="006F5581"/>
    <w:rsid w:val="00701838"/>
    <w:rsid w:val="00713035"/>
    <w:rsid w:val="00723A38"/>
    <w:rsid w:val="007270C9"/>
    <w:rsid w:val="00756872"/>
    <w:rsid w:val="007700F7"/>
    <w:rsid w:val="00774C9E"/>
    <w:rsid w:val="007756D7"/>
    <w:rsid w:val="00785C09"/>
    <w:rsid w:val="007A0F67"/>
    <w:rsid w:val="007B789C"/>
    <w:rsid w:val="007C2867"/>
    <w:rsid w:val="007D7327"/>
    <w:rsid w:val="007E0133"/>
    <w:rsid w:val="007E2C97"/>
    <w:rsid w:val="007F3D40"/>
    <w:rsid w:val="007F458F"/>
    <w:rsid w:val="007F70B7"/>
    <w:rsid w:val="0081095F"/>
    <w:rsid w:val="00810A13"/>
    <w:rsid w:val="0082509F"/>
    <w:rsid w:val="00827F98"/>
    <w:rsid w:val="00853532"/>
    <w:rsid w:val="00860217"/>
    <w:rsid w:val="00872E6E"/>
    <w:rsid w:val="008947A6"/>
    <w:rsid w:val="008A23F1"/>
    <w:rsid w:val="008A77E4"/>
    <w:rsid w:val="008C20FA"/>
    <w:rsid w:val="008C3849"/>
    <w:rsid w:val="008D3894"/>
    <w:rsid w:val="008D4A05"/>
    <w:rsid w:val="008D5EAA"/>
    <w:rsid w:val="008E399C"/>
    <w:rsid w:val="008E4B5E"/>
    <w:rsid w:val="008E4C37"/>
    <w:rsid w:val="008E7C44"/>
    <w:rsid w:val="00907CBD"/>
    <w:rsid w:val="00911263"/>
    <w:rsid w:val="00913618"/>
    <w:rsid w:val="00941CDB"/>
    <w:rsid w:val="009561C3"/>
    <w:rsid w:val="00971442"/>
    <w:rsid w:val="00977437"/>
    <w:rsid w:val="009A58BD"/>
    <w:rsid w:val="009A5CBA"/>
    <w:rsid w:val="009B1CB5"/>
    <w:rsid w:val="009C43C0"/>
    <w:rsid w:val="009D0446"/>
    <w:rsid w:val="00A2568E"/>
    <w:rsid w:val="00A26D38"/>
    <w:rsid w:val="00A32874"/>
    <w:rsid w:val="00A336E3"/>
    <w:rsid w:val="00A366D3"/>
    <w:rsid w:val="00A64A00"/>
    <w:rsid w:val="00A651BA"/>
    <w:rsid w:val="00A71785"/>
    <w:rsid w:val="00A94108"/>
    <w:rsid w:val="00A97663"/>
    <w:rsid w:val="00AB6B15"/>
    <w:rsid w:val="00AE5ABD"/>
    <w:rsid w:val="00AF6447"/>
    <w:rsid w:val="00B11F0B"/>
    <w:rsid w:val="00B278CE"/>
    <w:rsid w:val="00B375D9"/>
    <w:rsid w:val="00B42EFE"/>
    <w:rsid w:val="00B47BCC"/>
    <w:rsid w:val="00B51F16"/>
    <w:rsid w:val="00B9163A"/>
    <w:rsid w:val="00B955A2"/>
    <w:rsid w:val="00B9662D"/>
    <w:rsid w:val="00BA0BBB"/>
    <w:rsid w:val="00BA5EFA"/>
    <w:rsid w:val="00BA6472"/>
    <w:rsid w:val="00BE4380"/>
    <w:rsid w:val="00BE48E7"/>
    <w:rsid w:val="00BF2EE6"/>
    <w:rsid w:val="00C04128"/>
    <w:rsid w:val="00C23361"/>
    <w:rsid w:val="00C23395"/>
    <w:rsid w:val="00C23A81"/>
    <w:rsid w:val="00C3411F"/>
    <w:rsid w:val="00C455E8"/>
    <w:rsid w:val="00C464E7"/>
    <w:rsid w:val="00C728D0"/>
    <w:rsid w:val="00C828FE"/>
    <w:rsid w:val="00C82D2F"/>
    <w:rsid w:val="00CE53AF"/>
    <w:rsid w:val="00D11688"/>
    <w:rsid w:val="00D2545E"/>
    <w:rsid w:val="00D465E5"/>
    <w:rsid w:val="00D50449"/>
    <w:rsid w:val="00D516D8"/>
    <w:rsid w:val="00D75943"/>
    <w:rsid w:val="00D777B9"/>
    <w:rsid w:val="00D81AAA"/>
    <w:rsid w:val="00D8569B"/>
    <w:rsid w:val="00DC298E"/>
    <w:rsid w:val="00DC684D"/>
    <w:rsid w:val="00DE1507"/>
    <w:rsid w:val="00DF67B6"/>
    <w:rsid w:val="00E05C65"/>
    <w:rsid w:val="00E30F3A"/>
    <w:rsid w:val="00E32822"/>
    <w:rsid w:val="00E5648E"/>
    <w:rsid w:val="00E66BE1"/>
    <w:rsid w:val="00E90FBF"/>
    <w:rsid w:val="00EA6D36"/>
    <w:rsid w:val="00EC2DEF"/>
    <w:rsid w:val="00EC7F95"/>
    <w:rsid w:val="00EE0ED9"/>
    <w:rsid w:val="00EE325A"/>
    <w:rsid w:val="00F149C0"/>
    <w:rsid w:val="00F20804"/>
    <w:rsid w:val="00F24E01"/>
    <w:rsid w:val="00F25024"/>
    <w:rsid w:val="00F4166D"/>
    <w:rsid w:val="00F45A37"/>
    <w:rsid w:val="00F60B87"/>
    <w:rsid w:val="00F7230F"/>
    <w:rsid w:val="00F84A1B"/>
    <w:rsid w:val="00F90E13"/>
    <w:rsid w:val="00F9153F"/>
    <w:rsid w:val="00FC112C"/>
    <w:rsid w:val="00FC5609"/>
    <w:rsid w:val="00FD0A69"/>
    <w:rsid w:val="00FD44AC"/>
    <w:rsid w:val="00FE1514"/>
    <w:rsid w:val="00FE5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4">
      <o:colormenu v:ext="edit"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1B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8.0229226361031566E-2"/>
          <c:y val="7.0093457943927392E-2"/>
          <c:w val="0.92120343839541563"/>
          <c:h val="0.64018691588785048"/>
        </c:manualLayout>
      </c:layout>
      <c:barChart>
        <c:barDir val="col"/>
        <c:grouping val="clustered"/>
        <c:ser>
          <c:idx val="0"/>
          <c:order val="0"/>
          <c:tx>
            <c:strRef>
              <c:f>Sheet1!$B$1</c:f>
              <c:strCache>
                <c:ptCount val="1"/>
                <c:pt idx="0">
                  <c:v>Listings Sold Units</c:v>
                </c:pt>
              </c:strCache>
            </c:strRef>
          </c:tx>
          <c:spPr>
            <a:gradFill flip="none" rotWithShape="1">
              <a:gsLst>
                <a:gs pos="38000">
                  <a:srgbClr val="000082"/>
                </a:gs>
                <a:gs pos="100000">
                  <a:srgbClr val="0047FF"/>
                </a:gs>
              </a:gsLst>
              <a:lin ang="16200000" scaled="1"/>
              <a:tileRect/>
            </a:gradFill>
            <a:ln w="12694">
              <a:solidFill>
                <a:srgbClr val="000000"/>
              </a:solidFill>
              <a:prstDash val="solid"/>
            </a:ln>
          </c:spPr>
          <c:dPt>
            <c:idx val="0"/>
            <c:spPr>
              <a:gradFill flip="none" rotWithShape="1">
                <a:gsLst>
                  <a:gs pos="0">
                    <a:srgbClr val="B40000"/>
                  </a:gs>
                  <a:gs pos="100000">
                    <a:srgbClr val="FF1D1D"/>
                  </a:gs>
                </a:gsLst>
                <a:lin ang="16200000" scaled="1"/>
                <a:tileRect/>
              </a:gradFill>
              <a:ln w="12694">
                <a:solidFill>
                  <a:srgbClr val="000000"/>
                </a:solidFill>
                <a:prstDash val="solid"/>
              </a:ln>
            </c:spPr>
          </c:dPt>
          <c:dLbls>
            <c:dLbl>
              <c:idx val="0"/>
              <c:layout>
                <c:manualLayout>
                  <c:x val="-3.3314207817046024E-3"/>
                  <c:y val="-2.9185381850363461E-3"/>
                </c:manualLayout>
              </c:layout>
              <c:dLblPos val="outEnd"/>
              <c:showVal val="1"/>
            </c:dLbl>
            <c:dLbl>
              <c:idx val="1"/>
              <c:layout>
                <c:manualLayout>
                  <c:x val="-6.2015503875968835E-3"/>
                  <c:y val="-3.0792917628945518E-3"/>
                </c:manualLayout>
              </c:layout>
              <c:showVal val="1"/>
            </c:dLbl>
            <c:dLbl>
              <c:idx val="2"/>
              <c:layout>
                <c:manualLayout>
                  <c:x val="-2.0671834625323204E-3"/>
                  <c:y val="-6.1585835257890733E-3"/>
                </c:manualLayout>
              </c:layout>
              <c:showVal val="1"/>
            </c:dLbl>
            <c:dLbl>
              <c:idx val="3"/>
              <c:layout>
                <c:manualLayout>
                  <c:x val="0"/>
                  <c:y val="-6.1585835257890733E-3"/>
                </c:manualLayout>
              </c:layout>
              <c:showVal val="1"/>
            </c:dLbl>
            <c:spPr>
              <a:noFill/>
              <a:ln w="25388">
                <a:noFill/>
              </a:ln>
            </c:spPr>
            <c:txPr>
              <a:bodyPr/>
              <a:lstStyle/>
              <a:p>
                <a:pPr>
                  <a:defRPr sz="800"/>
                </a:pPr>
                <a:endParaRPr lang="en-US"/>
              </a:p>
            </c:tx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Sheet1!$B$2:$B$6</c:f>
              <c:numCache>
                <c:formatCode>General</c:formatCode>
                <c:ptCount val="5"/>
                <c:pt idx="0">
                  <c:v>308</c:v>
                </c:pt>
                <c:pt idx="1">
                  <c:v>181</c:v>
                </c:pt>
                <c:pt idx="2">
                  <c:v>119</c:v>
                </c:pt>
                <c:pt idx="3">
                  <c:v>106</c:v>
                </c:pt>
                <c:pt idx="4">
                  <c:v>99</c:v>
                </c:pt>
              </c:numCache>
            </c:numRef>
          </c:val>
        </c:ser>
        <c:ser>
          <c:idx val="1"/>
          <c:order val="1"/>
          <c:tx>
            <c:strRef>
              <c:f>Sheet1!$C$1</c:f>
              <c:strCache>
                <c:ptCount val="1"/>
              </c:strCache>
            </c:strRef>
          </c:tx>
          <c:spPr>
            <a:solidFill>
              <a:srgbClr val="DDDDDD"/>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Sheet1!$C$2:$C$6</c:f>
              <c:numCache>
                <c:formatCode>General</c:formatCode>
                <c:ptCount val="5"/>
              </c:numCache>
            </c:numRef>
          </c:val>
        </c:ser>
        <c:ser>
          <c:idx val="2"/>
          <c:order val="2"/>
          <c:tx>
            <c:strRef>
              <c:f>Sheet1!$D$1</c:f>
              <c:strCache>
                <c:ptCount val="1"/>
              </c:strCache>
            </c:strRef>
          </c:tx>
          <c:spPr>
            <a:solidFill>
              <a:srgbClr val="777777"/>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Sheet1!$D$2:$D$6</c:f>
              <c:numCache>
                <c:formatCode>General</c:formatCode>
                <c:ptCount val="5"/>
              </c:numCache>
            </c:numRef>
          </c:val>
        </c:ser>
        <c:ser>
          <c:idx val="3"/>
          <c:order val="3"/>
          <c:tx>
            <c:strRef>
              <c:f>Sheet1!$E$1</c:f>
              <c:strCache>
                <c:ptCount val="1"/>
              </c:strCache>
            </c:strRef>
          </c:tx>
          <c:spPr>
            <a:solidFill>
              <a:srgbClr val="969696"/>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Sheet1!$E$2:$E$6</c:f>
              <c:numCache>
                <c:formatCode>General</c:formatCode>
                <c:ptCount val="5"/>
              </c:numCache>
            </c:numRef>
          </c:val>
        </c:ser>
        <c:ser>
          <c:idx val="4"/>
          <c:order val="4"/>
          <c:tx>
            <c:strRef>
              <c:f>Sheet1!$F$1</c:f>
              <c:strCache>
                <c:ptCount val="1"/>
              </c:strCache>
            </c:strRef>
          </c:tx>
          <c:spPr>
            <a:solidFill>
              <a:srgbClr val="EAEAEA"/>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Sheet1!$F$2:$F$6</c:f>
              <c:numCache>
                <c:formatCode>General</c:formatCode>
                <c:ptCount val="5"/>
              </c:numCache>
            </c:numRef>
          </c:val>
        </c:ser>
        <c:ser>
          <c:idx val="5"/>
          <c:order val="5"/>
          <c:tx>
            <c:strRef>
              <c:f>Sheet1!$G$1</c:f>
              <c:strCache>
                <c:ptCount val="1"/>
              </c:strCache>
            </c:strRef>
          </c:tx>
          <c:spPr>
            <a:solidFill>
              <a:srgbClr val="000000"/>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Sheet1!$G$2:$G$6</c:f>
              <c:numCache>
                <c:formatCode>General</c:formatCode>
                <c:ptCount val="5"/>
              </c:numCache>
            </c:numRef>
          </c:val>
        </c:ser>
        <c:ser>
          <c:idx val="6"/>
          <c:order val="6"/>
          <c:tx>
            <c:strRef>
              <c:f>Sheet1!$H$1</c:f>
              <c:strCache>
                <c:ptCount val="1"/>
              </c:strCache>
            </c:strRef>
          </c:tx>
          <c:spPr>
            <a:solidFill>
              <a:srgbClr val="0066CC"/>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Sheet1!$H$2:$H$6</c:f>
              <c:numCache>
                <c:formatCode>General</c:formatCode>
                <c:ptCount val="5"/>
              </c:numCache>
            </c:numRef>
          </c:val>
        </c:ser>
        <c:ser>
          <c:idx val="7"/>
          <c:order val="7"/>
          <c:tx>
            <c:strRef>
              <c:f>Sheet1!$I$1</c:f>
              <c:strCache>
                <c:ptCount val="1"/>
              </c:strCache>
            </c:strRef>
          </c:tx>
          <c:spPr>
            <a:solidFill>
              <a:srgbClr val="CCCCFF"/>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Sheet1!$I$2:$I$6</c:f>
              <c:numCache>
                <c:formatCode>General</c:formatCode>
                <c:ptCount val="5"/>
              </c:numCache>
            </c:numRef>
          </c:val>
        </c:ser>
        <c:ser>
          <c:idx val="8"/>
          <c:order val="8"/>
          <c:tx>
            <c:strRef>
              <c:f>Sheet1!$J$1</c:f>
              <c:strCache>
                <c:ptCount val="1"/>
              </c:strCache>
            </c:strRef>
          </c:tx>
          <c:spPr>
            <a:solidFill>
              <a:srgbClr val="FF0000"/>
            </a:solidFill>
            <a:ln w="12694">
              <a:solidFill>
                <a:srgbClr val="000000"/>
              </a:solidFill>
              <a:prstDash val="solid"/>
            </a:ln>
          </c:spPr>
          <c:dLbls>
            <c:spPr>
              <a:noFill/>
              <a:ln w="25388">
                <a:noFill/>
              </a:ln>
            </c:spPr>
            <c:showVal val="1"/>
          </c:dLbls>
          <c:cat>
            <c:strRef>
              <c:f>Sheet1!$A$2:$A$17</c:f>
              <c:strCache>
                <c:ptCount val="5"/>
                <c:pt idx="0">
                  <c:v>RE/MAX Realty Plus  Sebring                        Lake Placid</c:v>
                </c:pt>
                <c:pt idx="1">
                  <c:v>BHHS Florida Properties Group    Sebring                      Lake Placid</c:v>
                </c:pt>
                <c:pt idx="2">
                  <c:v>ERA Advantage Realty 1                                    Sebring</c:v>
                </c:pt>
                <c:pt idx="3">
                  <c:v>Advanced                       All Service               Sebring</c:v>
                </c:pt>
                <c:pt idx="4">
                  <c:v>Keller Williams                  Sebring</c:v>
                </c:pt>
              </c:strCache>
            </c:strRef>
          </c:cat>
          <c:val>
            <c:numRef>
              <c:f>Sheet1!$J$2:$J$6</c:f>
              <c:numCache>
                <c:formatCode>General</c:formatCode>
                <c:ptCount val="5"/>
              </c:numCache>
            </c:numRef>
          </c:val>
        </c:ser>
        <c:dLbls>
          <c:showVal val="1"/>
        </c:dLbls>
        <c:gapWidth val="75"/>
        <c:overlap val="100"/>
        <c:axId val="130190720"/>
        <c:axId val="130200704"/>
      </c:barChart>
      <c:catAx>
        <c:axId val="130190720"/>
        <c:scaling>
          <c:orientation val="minMax"/>
        </c:scaling>
        <c:axPos val="b"/>
        <c:numFmt formatCode="General" sourceLinked="1"/>
        <c:tickLblPos val="nextTo"/>
        <c:spPr>
          <a:ln w="3174">
            <a:solidFill>
              <a:srgbClr val="000000"/>
            </a:solidFill>
            <a:prstDash val="solid"/>
          </a:ln>
        </c:spPr>
        <c:txPr>
          <a:bodyPr rot="0" vert="horz"/>
          <a:lstStyle/>
          <a:p>
            <a:pPr>
              <a:defRPr sz="900" kern="0" baseline="0"/>
            </a:pPr>
            <a:endParaRPr lang="en-US"/>
          </a:p>
        </c:txPr>
        <c:crossAx val="130200704"/>
        <c:crosses val="autoZero"/>
        <c:auto val="1"/>
        <c:lblAlgn val="ctr"/>
        <c:lblOffset val="80"/>
        <c:tickLblSkip val="1"/>
        <c:tickMarkSkip val="1"/>
      </c:catAx>
      <c:valAx>
        <c:axId val="130200704"/>
        <c:scaling>
          <c:orientation val="minMax"/>
          <c:max val="325"/>
          <c:min val="0"/>
        </c:scaling>
        <c:axPos val="l"/>
        <c:majorGridlines>
          <c:spPr>
            <a:ln w="3174">
              <a:solidFill>
                <a:srgbClr val="000000"/>
              </a:solidFill>
              <a:prstDash val="solid"/>
            </a:ln>
          </c:spPr>
        </c:majorGridlines>
        <c:numFmt formatCode="0" sourceLinked="0"/>
        <c:tickLblPos val="nextTo"/>
        <c:spPr>
          <a:ln w="3174">
            <a:solidFill>
              <a:srgbClr val="000000"/>
            </a:solidFill>
            <a:prstDash val="solid"/>
          </a:ln>
        </c:spPr>
        <c:txPr>
          <a:bodyPr rot="0" vert="horz"/>
          <a:lstStyle/>
          <a:p>
            <a:pPr>
              <a:defRPr sz="1000"/>
            </a:pPr>
            <a:endParaRPr lang="en-US"/>
          </a:p>
        </c:txPr>
        <c:crossAx val="130190720"/>
        <c:crosses val="autoZero"/>
        <c:crossBetween val="between"/>
        <c:majorUnit val="20"/>
        <c:minorUnit val="10"/>
      </c:valAx>
      <c:spPr>
        <a:solidFill>
          <a:srgbClr val="FFFFFF"/>
        </a:solidFill>
        <a:ln w="12694">
          <a:solidFill>
            <a:srgbClr val="000000"/>
          </a:solidFill>
          <a:prstDash val="solid"/>
        </a:ln>
      </c:spPr>
    </c:plotArea>
    <c:plotVisOnly val="1"/>
    <c:dispBlanksAs val="gap"/>
  </c:chart>
  <c:spPr>
    <a:noFill/>
    <a:ln>
      <a:noFill/>
    </a:ln>
  </c:spPr>
  <c:txPr>
    <a:bodyPr/>
    <a:lstStyle/>
    <a:p>
      <a:pPr>
        <a:defRPr sz="1599" b="1" i="0" u="none" strike="noStrike" spc="-100" baseline="0">
          <a:solidFill>
            <a:srgbClr val="000000"/>
          </a:solidFill>
          <a:latin typeface="Verdana"/>
          <a:ea typeface="Verdana"/>
          <a:cs typeface="Verdana"/>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Words>
  <Characters>101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REMAX</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CindyParrish</dc:creator>
  <cp:lastModifiedBy>Orpha</cp:lastModifiedBy>
  <cp:revision>2</cp:revision>
  <cp:lastPrinted>2014-04-21T18:29:00Z</cp:lastPrinted>
  <dcterms:created xsi:type="dcterms:W3CDTF">2019-05-10T19:08:00Z</dcterms:created>
  <dcterms:modified xsi:type="dcterms:W3CDTF">2019-05-10T19:08:00Z</dcterms:modified>
</cp:coreProperties>
</file>